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5DC8" w14:textId="449242CC" w:rsidR="0092067A" w:rsidRPr="000D4635" w:rsidRDefault="00B3742A" w:rsidP="00902237">
      <w:pPr>
        <w:spacing w:after="0" w:line="240" w:lineRule="auto"/>
        <w:jc w:val="center"/>
        <w:rPr>
          <w:rFonts w:ascii="Aptos" w:hAnsi="Aptos"/>
        </w:rPr>
      </w:pPr>
      <w:r w:rsidRPr="000D4635">
        <w:rPr>
          <w:rFonts w:ascii="Aptos" w:hAnsi="Aptos"/>
          <w:noProof/>
        </w:rPr>
        <w:drawing>
          <wp:inline distT="0" distB="0" distL="0" distR="0" wp14:anchorId="2D1E860C" wp14:editId="460E077E">
            <wp:extent cx="1680845" cy="531432"/>
            <wp:effectExtent l="0" t="0" r="0" b="0"/>
            <wp:docPr id="284" name="Pictu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7"/>
                    <a:stretch>
                      <a:fillRect/>
                    </a:stretch>
                  </pic:blipFill>
                  <pic:spPr>
                    <a:xfrm>
                      <a:off x="0" y="0"/>
                      <a:ext cx="1680845" cy="531432"/>
                    </a:xfrm>
                    <a:prstGeom prst="rect">
                      <a:avLst/>
                    </a:prstGeom>
                  </pic:spPr>
                </pic:pic>
              </a:graphicData>
            </a:graphic>
          </wp:inline>
        </w:drawing>
      </w:r>
    </w:p>
    <w:p w14:paraId="60BAA0AA" w14:textId="77777777" w:rsidR="0092067A" w:rsidRPr="000D4635" w:rsidRDefault="00B3742A" w:rsidP="00902237">
      <w:pPr>
        <w:spacing w:after="0" w:line="240" w:lineRule="auto"/>
        <w:rPr>
          <w:rFonts w:ascii="Aptos" w:hAnsi="Aptos"/>
        </w:rPr>
      </w:pPr>
      <w:r w:rsidRPr="000D4635">
        <w:rPr>
          <w:rFonts w:ascii="Aptos" w:eastAsia="Arial" w:hAnsi="Aptos" w:cs="Arial"/>
          <w:sz w:val="18"/>
        </w:rPr>
        <w:t xml:space="preserve"> </w:t>
      </w:r>
    </w:p>
    <w:p w14:paraId="27B6370B" w14:textId="77777777" w:rsidR="00AE78CD" w:rsidRDefault="00812B9A">
      <w:pPr>
        <w:jc w:val="center"/>
        <w:rPr>
          <w:rFonts w:ascii="Aptos" w:eastAsia="Arial" w:hAnsi="Aptos" w:cs="Arial"/>
          <w:b/>
          <w:sz w:val="36"/>
        </w:rPr>
      </w:pPr>
      <w:r>
        <w:rPr>
          <w:rFonts w:ascii="Aptos" w:eastAsia="Arial" w:hAnsi="Aptos" w:cs="Arial"/>
          <w:b/>
          <w:sz w:val="36"/>
        </w:rPr>
        <w:t>CII National FMCG Summit 2026</w:t>
      </w:r>
    </w:p>
    <w:p w14:paraId="49CADFA2" w14:textId="04B0F686" w:rsidR="00F615D1" w:rsidRDefault="00F615D1">
      <w:pPr>
        <w:jc w:val="center"/>
        <w:rPr>
          <w:rFonts w:ascii="Aptos" w:eastAsia="Arial" w:hAnsi="Aptos" w:cs="Arial"/>
          <w:b/>
          <w:sz w:val="36"/>
        </w:rPr>
      </w:pPr>
      <w:r w:rsidRPr="00DB3C70">
        <w:rPr>
          <w:rFonts w:ascii="Aptos" w:hAnsi="Aptos"/>
          <w:noProof/>
        </w:rPr>
        <w:drawing>
          <wp:inline distT="0" distB="0" distL="0" distR="0" wp14:anchorId="13EE31FF" wp14:editId="3400C9C5">
            <wp:extent cx="2044700" cy="1790700"/>
            <wp:effectExtent l="0" t="0" r="0" b="0"/>
            <wp:docPr id="141979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94537" name=""/>
                    <pic:cNvPicPr/>
                  </pic:nvPicPr>
                  <pic:blipFill>
                    <a:blip r:embed="rId8"/>
                    <a:stretch>
                      <a:fillRect/>
                    </a:stretch>
                  </pic:blipFill>
                  <pic:spPr>
                    <a:xfrm>
                      <a:off x="0" y="0"/>
                      <a:ext cx="2044700" cy="1790700"/>
                    </a:xfrm>
                    <a:prstGeom prst="rect">
                      <a:avLst/>
                    </a:prstGeom>
                  </pic:spPr>
                </pic:pic>
              </a:graphicData>
            </a:graphic>
          </wp:inline>
        </w:drawing>
      </w:r>
    </w:p>
    <w:p w14:paraId="72182BD9" w14:textId="5E8D5425" w:rsidR="000D6C15" w:rsidRPr="00282D08" w:rsidRDefault="00B3742A" w:rsidP="00902237">
      <w:pPr>
        <w:spacing w:after="0" w:line="240" w:lineRule="auto"/>
        <w:jc w:val="center"/>
        <w:rPr>
          <w:rFonts w:ascii="Aptos" w:eastAsia="Arial Narrow" w:hAnsi="Aptos" w:cstheme="minorHAnsi"/>
          <w:b/>
          <w:i/>
          <w:sz w:val="24"/>
          <w:szCs w:val="24"/>
        </w:rPr>
      </w:pPr>
      <w:r w:rsidRPr="00282D08">
        <w:rPr>
          <w:rFonts w:ascii="Aptos" w:eastAsia="Arial" w:hAnsi="Aptos" w:cs="Arial"/>
          <w:b/>
          <w:sz w:val="32"/>
          <w:szCs w:val="32"/>
        </w:rPr>
        <w:t>“</w:t>
      </w:r>
      <w:r w:rsidR="00D815E2" w:rsidRPr="00282D08">
        <w:rPr>
          <w:rFonts w:ascii="Aptos" w:hAnsi="Aptos"/>
          <w:b/>
          <w:bCs/>
          <w:sz w:val="32"/>
          <w:szCs w:val="32"/>
        </w:rPr>
        <w:t>Reimagining the Consumption Economy</w:t>
      </w:r>
      <w:r w:rsidR="003B579A" w:rsidRPr="00282D08">
        <w:rPr>
          <w:rFonts w:ascii="Aptos" w:eastAsia="Arial" w:hAnsi="Aptos" w:cs="Arial"/>
          <w:b/>
          <w:i/>
          <w:sz w:val="32"/>
          <w:szCs w:val="32"/>
        </w:rPr>
        <w:t>”</w:t>
      </w:r>
    </w:p>
    <w:p w14:paraId="43BE09E8" w14:textId="07265675" w:rsidR="0092067A" w:rsidRDefault="00B3742A" w:rsidP="00902237">
      <w:pPr>
        <w:spacing w:after="0" w:line="240" w:lineRule="auto"/>
        <w:jc w:val="center"/>
        <w:rPr>
          <w:rFonts w:ascii="Aptos" w:hAnsi="Aptos"/>
          <w:sz w:val="28"/>
          <w:szCs w:val="28"/>
        </w:rPr>
      </w:pPr>
      <w:r w:rsidRPr="000D4635">
        <w:rPr>
          <w:rFonts w:ascii="Aptos" w:eastAsia="Arial" w:hAnsi="Aptos" w:cs="Arial"/>
          <w:sz w:val="28"/>
          <w:szCs w:val="28"/>
          <w:highlight w:val="yellow"/>
        </w:rPr>
        <w:t>[</w:t>
      </w:r>
      <w:r w:rsidR="00D03CD6">
        <w:rPr>
          <w:rFonts w:ascii="Aptos" w:eastAsia="Arial" w:hAnsi="Aptos" w:cs="Arial"/>
          <w:sz w:val="28"/>
          <w:szCs w:val="28"/>
          <w:highlight w:val="yellow"/>
        </w:rPr>
        <w:t>Dec 7</w:t>
      </w:r>
      <w:proofErr w:type="gramStart"/>
      <w:r w:rsidR="00D03CD6">
        <w:rPr>
          <w:rFonts w:ascii="Aptos" w:eastAsia="Arial" w:hAnsi="Aptos" w:cs="Arial"/>
          <w:sz w:val="28"/>
          <w:szCs w:val="28"/>
          <w:highlight w:val="yellow"/>
        </w:rPr>
        <w:t xml:space="preserve"> 2027</w:t>
      </w:r>
      <w:proofErr w:type="gramEnd"/>
      <w:r w:rsidRPr="000D4635">
        <w:rPr>
          <w:rFonts w:ascii="Aptos" w:eastAsia="Arial" w:hAnsi="Aptos" w:cs="Arial"/>
          <w:sz w:val="28"/>
          <w:szCs w:val="28"/>
          <w:highlight w:val="yellow"/>
        </w:rPr>
        <w:t>] I [</w:t>
      </w:r>
      <w:r w:rsidR="00D03CD6">
        <w:rPr>
          <w:rFonts w:ascii="Aptos" w:eastAsia="Arial" w:hAnsi="Aptos" w:cs="Arial"/>
          <w:sz w:val="28"/>
          <w:szCs w:val="28"/>
          <w:highlight w:val="yellow"/>
        </w:rPr>
        <w:t>Mumbai</w:t>
      </w:r>
      <w:r w:rsidRPr="000D4635">
        <w:rPr>
          <w:rFonts w:ascii="Aptos" w:eastAsia="Arial" w:hAnsi="Aptos" w:cs="Arial"/>
          <w:sz w:val="28"/>
          <w:szCs w:val="28"/>
          <w:highlight w:val="yellow"/>
        </w:rPr>
        <w:t>]</w:t>
      </w:r>
    </w:p>
    <w:p w14:paraId="421292A0" w14:textId="77777777" w:rsidR="000D6C15" w:rsidRPr="00BD285B" w:rsidRDefault="000D6C15" w:rsidP="00902237">
      <w:pPr>
        <w:spacing w:after="0" w:line="240" w:lineRule="auto"/>
        <w:jc w:val="center"/>
        <w:rPr>
          <w:rFonts w:ascii="Aptos" w:hAnsi="Aptos"/>
          <w:sz w:val="16"/>
          <w:szCs w:val="16"/>
        </w:rPr>
      </w:pPr>
    </w:p>
    <w:p w14:paraId="3E366A42" w14:textId="691DA488" w:rsidR="0092067A" w:rsidRPr="000D4635" w:rsidRDefault="00B3742A" w:rsidP="00902237">
      <w:pPr>
        <w:spacing w:after="0" w:line="240" w:lineRule="auto"/>
        <w:jc w:val="center"/>
        <w:rPr>
          <w:rFonts w:ascii="Aptos" w:hAnsi="Aptos"/>
        </w:rPr>
      </w:pPr>
      <w:r w:rsidRPr="000D4635">
        <w:rPr>
          <w:rFonts w:ascii="Aptos" w:eastAsia="Arial" w:hAnsi="Aptos" w:cs="Arial"/>
          <w:b/>
          <w:sz w:val="36"/>
          <w:szCs w:val="36"/>
          <w:u w:val="single" w:color="000000"/>
        </w:rPr>
        <w:t>AGENDA</w:t>
      </w:r>
    </w:p>
    <w:p w14:paraId="2FA2A341" w14:textId="77777777" w:rsidR="00AB332C" w:rsidRPr="00196019" w:rsidRDefault="00AB332C" w:rsidP="00196019">
      <w:pPr>
        <w:spacing w:after="0" w:line="240" w:lineRule="auto"/>
        <w:ind w:left="283"/>
        <w:jc w:val="center"/>
        <w:rPr>
          <w:rFonts w:ascii="Aptos" w:hAnsi="Aptos"/>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05B66F0B"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6A5B38" w14:textId="77777777" w:rsidR="00AE78CD" w:rsidRDefault="00812B9A">
            <w:pPr>
              <w:keepNext/>
              <w:ind w:left="104"/>
              <w:rPr>
                <w:rFonts w:ascii="Aptos" w:eastAsia="Arial" w:hAnsi="Aptos" w:cs="Arial"/>
                <w:b/>
              </w:rPr>
            </w:pPr>
            <w:r>
              <w:rPr>
                <w:rFonts w:ascii="Aptos" w:eastAsia="Arial" w:hAnsi="Aptos" w:cs="Arial"/>
                <w:b/>
              </w:rPr>
              <w:t>0900 – 1000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3A2BFD" w14:textId="77777777" w:rsidR="00AE78CD" w:rsidRDefault="00812B9A">
            <w:pPr>
              <w:ind w:left="145"/>
              <w:rPr>
                <w:rFonts w:ascii="Aptos" w:eastAsia="Arial" w:hAnsi="Aptos" w:cs="Arial"/>
                <w:b/>
              </w:rPr>
            </w:pPr>
            <w:r>
              <w:rPr>
                <w:rFonts w:ascii="Aptos" w:eastAsia="Arial" w:hAnsi="Aptos" w:cs="Arial"/>
                <w:b/>
              </w:rPr>
              <w:t>Registration</w:t>
            </w:r>
          </w:p>
        </w:tc>
      </w:tr>
    </w:tbl>
    <w:p w14:paraId="1141972A" w14:textId="77777777" w:rsidR="00AE78CD" w:rsidRDefault="00AE78CD">
      <w:pPr>
        <w:keepNext/>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230025F7"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4BABB2" w14:textId="77777777" w:rsidR="00AE78CD" w:rsidRDefault="00812B9A">
            <w:pPr>
              <w:ind w:left="104"/>
              <w:rPr>
                <w:rFonts w:ascii="Aptos" w:eastAsia="Arial" w:hAnsi="Aptos" w:cs="Arial"/>
                <w:b/>
              </w:rPr>
            </w:pPr>
            <w:r>
              <w:rPr>
                <w:rFonts w:ascii="Aptos" w:eastAsia="Arial" w:hAnsi="Aptos" w:cs="Arial"/>
                <w:b/>
              </w:rPr>
              <w:t>1000 – 1100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068A9A" w14:textId="77777777" w:rsidR="00AE78CD" w:rsidRDefault="00812B9A">
            <w:pPr>
              <w:ind w:left="145"/>
              <w:rPr>
                <w:rFonts w:ascii="Aptos" w:eastAsia="Arial" w:hAnsi="Aptos" w:cs="Arial"/>
                <w:b/>
              </w:rPr>
            </w:pPr>
            <w:r>
              <w:rPr>
                <w:rFonts w:ascii="Aptos" w:eastAsia="Arial" w:hAnsi="Aptos" w:cs="Arial"/>
                <w:b/>
              </w:rPr>
              <w:t>OPENING SESSION</w:t>
            </w:r>
          </w:p>
        </w:tc>
      </w:tr>
      <w:tr w:rsidR="00AE78CD" w14:paraId="507E61C3"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57BD3D7C"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2A480312" w14:textId="77777777" w:rsidR="007E68B2" w:rsidRDefault="007E68B2">
            <w:pPr>
              <w:ind w:left="145"/>
              <w:jc w:val="both"/>
              <w:rPr>
                <w:rFonts w:ascii="Aptos" w:eastAsia="Arial" w:hAnsi="Aptos" w:cs="Arial"/>
              </w:rPr>
            </w:pPr>
          </w:p>
          <w:p w14:paraId="1CA06639" w14:textId="6BFE20FE" w:rsidR="007E68B2" w:rsidRDefault="00812B9A" w:rsidP="00287FB4">
            <w:pPr>
              <w:ind w:left="145"/>
              <w:jc w:val="both"/>
              <w:rPr>
                <w:rFonts w:ascii="Aptos" w:eastAsia="Arial" w:hAnsi="Aptos" w:cs="Arial"/>
              </w:rPr>
            </w:pPr>
            <w:r>
              <w:rPr>
                <w:rFonts w:ascii="Aptos" w:eastAsia="Arial" w:hAnsi="Aptos" w:cs="Arial"/>
              </w:rPr>
              <w:t>Changing consumer demand, evolving business models and uncertainty in the wider economy are reshaping the choices facing FMCG companies. The opening session will introduce “</w:t>
            </w:r>
            <w:r w:rsidRPr="007E68B2">
              <w:rPr>
                <w:rFonts w:ascii="Aptos" w:eastAsia="Arial" w:hAnsi="Aptos" w:cs="Arial"/>
                <w:b/>
                <w:bCs/>
              </w:rPr>
              <w:t>Reimagining the Consumption Economy</w:t>
            </w:r>
            <w:r>
              <w:rPr>
                <w:rFonts w:ascii="Aptos" w:eastAsia="Arial" w:hAnsi="Aptos" w:cs="Arial"/>
              </w:rPr>
              <w:t>” through a theme presentation on consumption</w:t>
            </w:r>
            <w:r w:rsidR="007E68B2">
              <w:rPr>
                <w:rFonts w:ascii="Aptos" w:eastAsia="Arial" w:hAnsi="Aptos" w:cs="Arial"/>
              </w:rPr>
              <w:t xml:space="preserve"> / macroeconomic</w:t>
            </w:r>
            <w:r>
              <w:rPr>
                <w:rFonts w:ascii="Aptos" w:eastAsia="Arial" w:hAnsi="Aptos" w:cs="Arial"/>
              </w:rPr>
              <w:t xml:space="preserve"> trends</w:t>
            </w:r>
            <w:r w:rsidR="007E68B2">
              <w:rPr>
                <w:rFonts w:ascii="Aptos" w:eastAsia="Arial" w:hAnsi="Aptos" w:cs="Arial"/>
              </w:rPr>
              <w:t xml:space="preserve">. </w:t>
            </w:r>
            <w:r>
              <w:rPr>
                <w:rFonts w:ascii="Aptos" w:eastAsia="Arial" w:hAnsi="Aptos" w:cs="Arial"/>
              </w:rPr>
              <w:t>It will examine the sources of growth, how these are likely to evolve, and the trade-offs between growth and profitability. These perspectives will frame the day’s discussions: diagnosing changes in demand and supply-side costs and risk, exploring responses through business models, portfolios and channels, and identifying the capabilities and leadership priorities that will shape the industry’s response.</w:t>
            </w:r>
          </w:p>
        </w:tc>
      </w:tr>
    </w:tbl>
    <w:p w14:paraId="10AE75AB" w14:textId="77777777" w:rsidR="00AE78CD" w:rsidRDefault="00AE78CD">
      <w:pPr>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5D660453"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52EC00" w14:textId="77777777" w:rsidR="00AE78CD" w:rsidRDefault="00812B9A">
            <w:pPr>
              <w:keepNext/>
              <w:ind w:left="104"/>
              <w:rPr>
                <w:rFonts w:ascii="Aptos" w:eastAsia="Arial" w:hAnsi="Aptos" w:cs="Arial"/>
                <w:b/>
              </w:rPr>
            </w:pPr>
            <w:r>
              <w:rPr>
                <w:rFonts w:ascii="Aptos" w:eastAsia="Arial" w:hAnsi="Aptos" w:cs="Arial"/>
                <w:b/>
              </w:rPr>
              <w:t>1105 – 1155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347480" w14:textId="0061243B" w:rsidR="00AE78CD" w:rsidRDefault="00812B9A">
            <w:pPr>
              <w:keepNext/>
              <w:ind w:left="145"/>
              <w:jc w:val="both"/>
              <w:rPr>
                <w:rFonts w:ascii="Aptos" w:eastAsia="Arial" w:hAnsi="Aptos" w:cs="Arial"/>
              </w:rPr>
            </w:pPr>
            <w:r>
              <w:rPr>
                <w:rFonts w:ascii="Aptos" w:eastAsia="Arial" w:hAnsi="Aptos" w:cs="Arial"/>
                <w:b/>
              </w:rPr>
              <w:t>SESSION I: Volatility as a Constant</w:t>
            </w:r>
            <w:r w:rsidR="00300D3F">
              <w:rPr>
                <w:rFonts w:ascii="Aptos" w:eastAsia="Arial" w:hAnsi="Aptos" w:cs="Arial"/>
                <w:b/>
              </w:rPr>
              <w:t xml:space="preserve"> </w:t>
            </w:r>
          </w:p>
        </w:tc>
      </w:tr>
      <w:tr w:rsidR="00AE78CD" w14:paraId="6FCC0CF5"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2DC0DC57"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3A55C506" w14:textId="77777777" w:rsidR="00AE78CD" w:rsidRDefault="00AE78CD" w:rsidP="00300D3F">
            <w:pPr>
              <w:rPr>
                <w:rFonts w:ascii="Aptos" w:eastAsia="Arial" w:hAnsi="Aptos" w:cs="Arial"/>
              </w:rPr>
            </w:pPr>
          </w:p>
          <w:p w14:paraId="077443AF" w14:textId="26CA9C02" w:rsidR="00AE78CD" w:rsidRDefault="00812B9A">
            <w:pPr>
              <w:ind w:left="145"/>
              <w:jc w:val="both"/>
              <w:rPr>
                <w:rFonts w:ascii="Aptos" w:eastAsia="Arial" w:hAnsi="Aptos" w:cs="Arial"/>
              </w:rPr>
            </w:pPr>
            <w:r>
              <w:rPr>
                <w:rFonts w:ascii="Aptos" w:eastAsia="Arial" w:hAnsi="Aptos" w:cs="Arial"/>
              </w:rPr>
              <w:t xml:space="preserve">Demand growth and supply-side uncertainty present a mixed picture for FMCG leaders. A short set-up presentation will frame the trends, followed by a CEO panel examining what has driven demand and whether that momentum can continue. On the demand side, the discussion will cover the divergence between rural and urban markets and the balance between premium versus value. </w:t>
            </w:r>
            <w:proofErr w:type="spellStart"/>
            <w:r>
              <w:rPr>
                <w:rFonts w:ascii="Aptos" w:eastAsia="Arial" w:hAnsi="Aptos" w:cs="Arial"/>
              </w:rPr>
              <w:t>Panellists</w:t>
            </w:r>
            <w:proofErr w:type="spellEnd"/>
            <w:r>
              <w:rPr>
                <w:rFonts w:ascii="Aptos" w:eastAsia="Arial" w:hAnsi="Aptos" w:cs="Arial"/>
              </w:rPr>
              <w:t xml:space="preserve"> will share how these patterns are playing out across their businesses and shaping expectations for consumption. The panel will also assess commodity prices and geopolitics, examining the implications </w:t>
            </w:r>
            <w:proofErr w:type="gramStart"/>
            <w:r>
              <w:rPr>
                <w:rFonts w:ascii="Aptos" w:eastAsia="Arial" w:hAnsi="Aptos" w:cs="Arial"/>
              </w:rPr>
              <w:t>on</w:t>
            </w:r>
            <w:proofErr w:type="gramEnd"/>
            <w:r>
              <w:rPr>
                <w:rFonts w:ascii="Aptos" w:eastAsia="Arial" w:hAnsi="Aptos" w:cs="Arial"/>
              </w:rPr>
              <w:t xml:space="preserve"> costs and supply-side risks.</w:t>
            </w:r>
          </w:p>
          <w:p w14:paraId="12555583" w14:textId="77777777" w:rsidR="00AE78CD" w:rsidRDefault="00AE78CD">
            <w:pPr>
              <w:ind w:left="145"/>
              <w:rPr>
                <w:rFonts w:ascii="Aptos" w:eastAsia="Arial" w:hAnsi="Aptos" w:cs="Arial"/>
              </w:rPr>
            </w:pPr>
          </w:p>
          <w:p w14:paraId="2AF76435" w14:textId="2FBEB330" w:rsidR="00AE78CD" w:rsidRDefault="00AE78CD">
            <w:pPr>
              <w:ind w:left="145"/>
              <w:rPr>
                <w:rFonts w:ascii="Aptos" w:eastAsia="Arial" w:hAnsi="Aptos" w:cs="Arial"/>
              </w:rPr>
            </w:pPr>
          </w:p>
        </w:tc>
      </w:tr>
    </w:tbl>
    <w:p w14:paraId="021A0CB1" w14:textId="77777777" w:rsidR="00AE78CD" w:rsidRDefault="00AE78CD">
      <w:pPr>
        <w:spacing w:after="0" w:line="240" w:lineRule="auto"/>
        <w:rPr>
          <w:rFonts w:ascii="Aptos" w:eastAsia="Arial" w:hAnsi="Aptos" w:cs="Arial"/>
        </w:rPr>
      </w:pPr>
    </w:p>
    <w:p w14:paraId="42899387" w14:textId="77777777" w:rsidR="00AE78CD" w:rsidRDefault="00AE78CD">
      <w:pPr>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0856079F"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50E8B9" w14:textId="77777777" w:rsidR="00AE78CD" w:rsidRDefault="00812B9A">
            <w:pPr>
              <w:keepNext/>
              <w:ind w:left="104"/>
              <w:rPr>
                <w:rFonts w:ascii="Aptos" w:eastAsia="Arial" w:hAnsi="Aptos" w:cs="Arial"/>
                <w:b/>
              </w:rPr>
            </w:pPr>
            <w:r>
              <w:rPr>
                <w:rFonts w:ascii="Aptos" w:eastAsia="Arial" w:hAnsi="Aptos" w:cs="Arial"/>
                <w:b/>
              </w:rPr>
              <w:t>1210 – 1300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FCB91A" w14:textId="266E7E33" w:rsidR="00AE78CD" w:rsidRDefault="00812B9A">
            <w:pPr>
              <w:keepNext/>
              <w:ind w:left="145"/>
              <w:jc w:val="both"/>
              <w:rPr>
                <w:rFonts w:ascii="Aptos" w:eastAsia="Arial" w:hAnsi="Aptos" w:cs="Arial"/>
              </w:rPr>
            </w:pPr>
            <w:r>
              <w:rPr>
                <w:rFonts w:ascii="Aptos" w:eastAsia="Arial" w:hAnsi="Aptos" w:cs="Arial"/>
                <w:b/>
              </w:rPr>
              <w:t xml:space="preserve">SESSION II: Discovering the Right Growth Model </w:t>
            </w:r>
          </w:p>
        </w:tc>
      </w:tr>
      <w:tr w:rsidR="00AE78CD" w14:paraId="087F3131"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676F04D3"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37832A7F" w14:textId="61F9ACE1" w:rsidR="00AE78CD" w:rsidRDefault="00812B9A">
            <w:pPr>
              <w:ind w:left="145"/>
              <w:jc w:val="both"/>
              <w:rPr>
                <w:rFonts w:ascii="Aptos" w:eastAsia="Arial" w:hAnsi="Aptos" w:cs="Arial"/>
              </w:rPr>
            </w:pPr>
            <w:r>
              <w:rPr>
                <w:rFonts w:ascii="Aptos" w:eastAsia="Arial" w:hAnsi="Aptos" w:cs="Arial"/>
              </w:rPr>
              <w:t>Traditional FMCG companies and direct-to-consumer (D2C) brands face different choices in pursuing their next stage of development. A short set-up will examine where growth is coming from globally and in India, before a panel explores the options open to each model. The discussion will address incubation and acquisition: when to build a new business, when to acquire one, and the implications of either approach for the business. It will examine these choices from the perspectives of traditional and D2C players, comparing the rationale behind different routes and how companies can match their approach to the opportunities emerging in the market.</w:t>
            </w:r>
          </w:p>
          <w:p w14:paraId="5A1C3DE4" w14:textId="58BE5D21" w:rsidR="00AE78CD" w:rsidRDefault="00AE78CD" w:rsidP="006529B3">
            <w:pPr>
              <w:rPr>
                <w:rFonts w:ascii="Aptos" w:eastAsia="Arial" w:hAnsi="Aptos" w:cs="Arial"/>
              </w:rPr>
            </w:pPr>
          </w:p>
        </w:tc>
      </w:tr>
    </w:tbl>
    <w:p w14:paraId="60A318EA" w14:textId="77777777" w:rsidR="00AE78CD" w:rsidRDefault="00AE78CD">
      <w:pPr>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230FF58B"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FFB534" w14:textId="77777777" w:rsidR="00AE78CD" w:rsidRDefault="00812B9A">
            <w:pPr>
              <w:keepNext/>
              <w:ind w:left="104"/>
              <w:rPr>
                <w:rFonts w:ascii="Aptos" w:eastAsia="Arial" w:hAnsi="Aptos" w:cs="Arial"/>
                <w:b/>
              </w:rPr>
            </w:pPr>
            <w:r>
              <w:rPr>
                <w:rFonts w:ascii="Aptos" w:eastAsia="Arial" w:hAnsi="Aptos" w:cs="Arial"/>
                <w:b/>
              </w:rPr>
              <w:t>1400 – 1515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D770D2" w14:textId="6969662E" w:rsidR="00AE78CD" w:rsidRDefault="00812B9A">
            <w:pPr>
              <w:keepNext/>
              <w:ind w:left="145"/>
              <w:jc w:val="both"/>
              <w:rPr>
                <w:rFonts w:ascii="Aptos" w:eastAsia="Arial" w:hAnsi="Aptos" w:cs="Arial"/>
              </w:rPr>
            </w:pPr>
            <w:r>
              <w:rPr>
                <w:rFonts w:ascii="Aptos" w:eastAsia="Arial" w:hAnsi="Aptos" w:cs="Arial"/>
                <w:b/>
              </w:rPr>
              <w:t xml:space="preserve">SESSION III: Developing a Portfolio for the Future </w:t>
            </w:r>
          </w:p>
        </w:tc>
      </w:tr>
      <w:tr w:rsidR="00AE78CD" w14:paraId="561B5077"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364B9363"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2AA6A52C" w14:textId="287760B7" w:rsidR="00AE78CD" w:rsidRPr="006529B3" w:rsidRDefault="00812B9A" w:rsidP="006529B3">
            <w:pPr>
              <w:ind w:left="145"/>
              <w:jc w:val="both"/>
              <w:rPr>
                <w:rFonts w:ascii="Aptos" w:eastAsia="Arial" w:hAnsi="Aptos" w:cs="Arial"/>
              </w:rPr>
            </w:pPr>
            <w:r>
              <w:rPr>
                <w:rFonts w:ascii="Aptos" w:eastAsia="Arial" w:hAnsi="Aptos" w:cs="Arial"/>
              </w:rPr>
              <w:t xml:space="preserve">Portfolio transformation involves interrelated choices, and the path a company takes depends on its starting position. Through two to three company stories followed by discussion, this session will explore different approaches to reshaping an FMCG portfolio. Illustrative choices include building around themes such as health, indulgence and </w:t>
            </w:r>
            <w:proofErr w:type="spellStart"/>
            <w:r>
              <w:rPr>
                <w:rFonts w:ascii="Aptos" w:eastAsia="Arial" w:hAnsi="Aptos" w:cs="Arial"/>
              </w:rPr>
              <w:t>personalisation</w:t>
            </w:r>
            <w:proofErr w:type="spellEnd"/>
            <w:r>
              <w:rPr>
                <w:rFonts w:ascii="Aptos" w:eastAsia="Arial" w:hAnsi="Aptos" w:cs="Arial"/>
              </w:rPr>
              <w:t>; focusing on premium or value, for example in a regional business; or entering new spaces. The discussion will examine the rationale behind each approach and how individual choices come together across the portfolio. The company experiences will provide a basis for comparing different paths to transformation.</w:t>
            </w:r>
          </w:p>
        </w:tc>
      </w:tr>
    </w:tbl>
    <w:p w14:paraId="25D83E24" w14:textId="77777777" w:rsidR="00AE78CD" w:rsidRDefault="00AE78CD">
      <w:pPr>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4EB9DE06"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D4A2E6" w14:textId="3B97D194" w:rsidR="00AE78CD" w:rsidRDefault="00812B9A">
            <w:pPr>
              <w:keepNext/>
              <w:ind w:left="104"/>
              <w:rPr>
                <w:rFonts w:ascii="Aptos" w:eastAsia="Arial" w:hAnsi="Aptos" w:cs="Arial"/>
                <w:b/>
              </w:rPr>
            </w:pPr>
            <w:r>
              <w:rPr>
                <w:rFonts w:ascii="Aptos" w:eastAsia="Arial" w:hAnsi="Aptos" w:cs="Arial"/>
                <w:b/>
              </w:rPr>
              <w:t>1520 – 16</w:t>
            </w:r>
            <w:r w:rsidR="00800161">
              <w:rPr>
                <w:rFonts w:ascii="Aptos" w:eastAsia="Arial" w:hAnsi="Aptos" w:cs="Arial"/>
                <w:b/>
              </w:rPr>
              <w:t>0</w:t>
            </w:r>
            <w:r>
              <w:rPr>
                <w:rFonts w:ascii="Aptos" w:eastAsia="Arial" w:hAnsi="Aptos" w:cs="Arial"/>
                <w:b/>
              </w:rPr>
              <w:t>0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7A37C2" w14:textId="13845565" w:rsidR="00AE78CD" w:rsidRDefault="00812B9A">
            <w:pPr>
              <w:keepNext/>
              <w:ind w:left="145"/>
              <w:jc w:val="both"/>
              <w:rPr>
                <w:rFonts w:ascii="Aptos" w:eastAsia="Arial" w:hAnsi="Aptos" w:cs="Arial"/>
              </w:rPr>
            </w:pPr>
            <w:r>
              <w:rPr>
                <w:rFonts w:ascii="Aptos" w:eastAsia="Arial" w:hAnsi="Aptos" w:cs="Arial"/>
                <w:b/>
              </w:rPr>
              <w:t xml:space="preserve">SESSION IV: Reimagining Channels – for Demand Generation and Fulfilment </w:t>
            </w:r>
          </w:p>
        </w:tc>
      </w:tr>
      <w:tr w:rsidR="00AE78CD" w14:paraId="5E64D662"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4B877022"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26E36D13" w14:textId="77777777" w:rsidR="00AE78CD" w:rsidRDefault="00812B9A">
            <w:pPr>
              <w:ind w:left="145"/>
              <w:jc w:val="both"/>
              <w:rPr>
                <w:rFonts w:ascii="Aptos" w:eastAsia="Arial" w:hAnsi="Aptos" w:cs="Arial"/>
              </w:rPr>
            </w:pPr>
            <w:r>
              <w:rPr>
                <w:rFonts w:ascii="Aptos" w:eastAsia="Arial" w:hAnsi="Aptos" w:cs="Arial"/>
              </w:rPr>
              <w:t xml:space="preserve">Digital and physical channels influence how consumers encounter brands as well as how their purchases are fulfilled. A short set-up will frame these roles, followed by a panel on using these channels to drive FMCG growth. The discussion will examine approaches to demand generation and fulfilment in each channel, connecting consumer discovery and engagement with purchase and fulfilment. It will consider how these activities work together across the consumer journey and how companies can approach channel choices end to end. The focus will be on the different </w:t>
            </w:r>
            <w:proofErr w:type="gramStart"/>
            <w:r>
              <w:rPr>
                <w:rFonts w:ascii="Aptos" w:eastAsia="Arial" w:hAnsi="Aptos" w:cs="Arial"/>
              </w:rPr>
              <w:t>roles</w:t>
            </w:r>
            <w:proofErr w:type="gramEnd"/>
            <w:r>
              <w:rPr>
                <w:rFonts w:ascii="Aptos" w:eastAsia="Arial" w:hAnsi="Aptos" w:cs="Arial"/>
              </w:rPr>
              <w:t xml:space="preserve"> channels can play, rather than a debate about quick commerce versus general trade.</w:t>
            </w:r>
          </w:p>
          <w:p w14:paraId="7DDC2EAA" w14:textId="77777777" w:rsidR="00AE78CD" w:rsidRDefault="00AE78CD">
            <w:pPr>
              <w:ind w:left="145"/>
              <w:rPr>
                <w:rFonts w:ascii="Aptos" w:eastAsia="Arial" w:hAnsi="Aptos" w:cs="Arial"/>
              </w:rPr>
            </w:pPr>
          </w:p>
          <w:p w14:paraId="369DCA40" w14:textId="2DC7B131" w:rsidR="00AE78CD" w:rsidRDefault="00AE78CD">
            <w:pPr>
              <w:ind w:left="145"/>
              <w:rPr>
                <w:rFonts w:ascii="Aptos" w:eastAsia="Arial" w:hAnsi="Aptos" w:cs="Arial"/>
              </w:rPr>
            </w:pPr>
          </w:p>
        </w:tc>
      </w:tr>
    </w:tbl>
    <w:p w14:paraId="5D816556" w14:textId="77777777" w:rsidR="00AE78CD" w:rsidRDefault="00AE78CD">
      <w:pPr>
        <w:spacing w:after="0" w:line="240" w:lineRule="auto"/>
        <w:rPr>
          <w:rFonts w:ascii="Aptos" w:eastAsia="Arial" w:hAnsi="Aptos" w:cs="Arial"/>
        </w:rPr>
      </w:pPr>
    </w:p>
    <w:p w14:paraId="0DEDC52F" w14:textId="77777777" w:rsidR="00AE78CD" w:rsidRDefault="00AE78CD">
      <w:pPr>
        <w:spacing w:after="0" w:line="240" w:lineRule="auto"/>
        <w:rPr>
          <w:rFonts w:ascii="Aptos" w:eastAsia="Arial" w:hAnsi="Aptos" w:cs="Arial"/>
        </w:rPr>
      </w:pPr>
    </w:p>
    <w:p w14:paraId="1C0C7408" w14:textId="77777777" w:rsidR="00AE78CD" w:rsidRDefault="00AE78CD">
      <w:pPr>
        <w:keepNext/>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39856CFF"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B25C49" w14:textId="205903DC" w:rsidR="00AE78CD" w:rsidRDefault="00812B9A">
            <w:pPr>
              <w:keepNext/>
              <w:ind w:left="104"/>
              <w:rPr>
                <w:rFonts w:ascii="Aptos" w:eastAsia="Arial" w:hAnsi="Aptos" w:cs="Arial"/>
                <w:b/>
              </w:rPr>
            </w:pPr>
            <w:r>
              <w:rPr>
                <w:rFonts w:ascii="Aptos" w:eastAsia="Arial" w:hAnsi="Aptos" w:cs="Arial"/>
                <w:b/>
              </w:rPr>
              <w:t>162</w:t>
            </w:r>
            <w:r w:rsidR="00800161">
              <w:rPr>
                <w:rFonts w:ascii="Aptos" w:eastAsia="Arial" w:hAnsi="Aptos" w:cs="Arial"/>
                <w:b/>
              </w:rPr>
              <w:t>0</w:t>
            </w:r>
            <w:r>
              <w:rPr>
                <w:rFonts w:ascii="Aptos" w:eastAsia="Arial" w:hAnsi="Aptos" w:cs="Arial"/>
                <w:b/>
              </w:rPr>
              <w:t xml:space="preserve"> – 1740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8B4FE8" w14:textId="56CCAFD3" w:rsidR="00AE78CD" w:rsidRDefault="00812B9A">
            <w:pPr>
              <w:keepNext/>
              <w:ind w:left="145"/>
              <w:jc w:val="both"/>
              <w:rPr>
                <w:rFonts w:ascii="Aptos" w:eastAsia="Arial" w:hAnsi="Aptos" w:cs="Arial"/>
              </w:rPr>
            </w:pPr>
            <w:r>
              <w:rPr>
                <w:rFonts w:ascii="Aptos" w:eastAsia="Arial" w:hAnsi="Aptos" w:cs="Arial"/>
                <w:b/>
              </w:rPr>
              <w:t xml:space="preserve">SESSION V: AI and Value Creation </w:t>
            </w:r>
          </w:p>
        </w:tc>
      </w:tr>
      <w:tr w:rsidR="00AE78CD" w14:paraId="6EADB66A"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4EB333D3"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76E7F745" w14:textId="77777777" w:rsidR="00AE78CD" w:rsidRDefault="00812B9A">
            <w:pPr>
              <w:ind w:left="145"/>
              <w:jc w:val="both"/>
              <w:rPr>
                <w:rFonts w:ascii="Aptos" w:eastAsia="Arial" w:hAnsi="Aptos" w:cs="Arial"/>
              </w:rPr>
            </w:pPr>
            <w:r>
              <w:rPr>
                <w:rFonts w:ascii="Aptos" w:eastAsia="Arial" w:hAnsi="Aptos" w:cs="Arial"/>
              </w:rPr>
              <w:t xml:space="preserve">Learning from AI at scale in other industries can help FMCG leaders assess what </w:t>
            </w:r>
            <w:proofErr w:type="gramStart"/>
            <w:r>
              <w:rPr>
                <w:rFonts w:ascii="Aptos" w:eastAsia="Arial" w:hAnsi="Aptos" w:cs="Arial"/>
              </w:rPr>
              <w:t>the technology</w:t>
            </w:r>
            <w:proofErr w:type="gramEnd"/>
            <w:r>
              <w:rPr>
                <w:rFonts w:ascii="Aptos" w:eastAsia="Arial" w:hAnsi="Aptos" w:cs="Arial"/>
              </w:rPr>
              <w:t xml:space="preserve"> could mean for their businesses. A short set-up will introduce cross-industry experiences, followed by a panel exploring where AI has created value and what it has taken to scale its use. The conversation will examine practical implementation lessons, including what has worked, what has proved difficult and what these experiences suggest for consumer businesses. Discussions on AI would focus on measurable business outcomes, including productivity, consumer insights, marketing effectiveness and supply-chain </w:t>
            </w:r>
            <w:proofErr w:type="spellStart"/>
            <w:r>
              <w:rPr>
                <w:rFonts w:ascii="Aptos" w:eastAsia="Arial" w:hAnsi="Aptos" w:cs="Arial"/>
              </w:rPr>
              <w:t>optimisation</w:t>
            </w:r>
            <w:proofErr w:type="spellEnd"/>
            <w:r>
              <w:rPr>
                <w:rFonts w:ascii="Aptos" w:eastAsia="Arial" w:hAnsi="Aptos" w:cs="Arial"/>
              </w:rPr>
              <w:t>.</w:t>
            </w:r>
          </w:p>
          <w:p w14:paraId="7995460F" w14:textId="2C702D20" w:rsidR="00AE78CD" w:rsidRDefault="00AE78CD" w:rsidP="00D40FB0">
            <w:pPr>
              <w:rPr>
                <w:rFonts w:ascii="Aptos" w:eastAsia="Arial" w:hAnsi="Aptos" w:cs="Arial"/>
              </w:rPr>
            </w:pPr>
          </w:p>
        </w:tc>
      </w:tr>
    </w:tbl>
    <w:p w14:paraId="193C0236" w14:textId="77777777" w:rsidR="00AE78CD" w:rsidRDefault="00AE78CD">
      <w:pPr>
        <w:spacing w:after="0" w:line="240" w:lineRule="auto"/>
        <w:rPr>
          <w:rFonts w:ascii="Aptos" w:eastAsia="Arial" w:hAnsi="Aptos" w:cs="Arial"/>
        </w:rPr>
      </w:pPr>
    </w:p>
    <w:tbl>
      <w:tblPr>
        <w:tblStyle w:val="TableGrid"/>
        <w:tblW w:w="9638" w:type="dxa"/>
        <w:tblInd w:w="275" w:type="dxa"/>
        <w:tblCellMar>
          <w:top w:w="60" w:type="dxa"/>
          <w:left w:w="107" w:type="dxa"/>
          <w:bottom w:w="60" w:type="dxa"/>
          <w:right w:w="55" w:type="dxa"/>
        </w:tblCellMar>
        <w:tblLook w:val="04A0" w:firstRow="1" w:lastRow="0" w:firstColumn="1" w:lastColumn="0" w:noHBand="0" w:noVBand="1"/>
      </w:tblPr>
      <w:tblGrid>
        <w:gridCol w:w="1988"/>
        <w:gridCol w:w="7650"/>
      </w:tblGrid>
      <w:tr w:rsidR="00AE78CD" w14:paraId="4CD52140"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C05700" w14:textId="67BB4F57" w:rsidR="00AE78CD" w:rsidRDefault="00812B9A">
            <w:pPr>
              <w:keepNext/>
              <w:ind w:left="104"/>
              <w:rPr>
                <w:rFonts w:ascii="Aptos" w:eastAsia="Arial" w:hAnsi="Aptos" w:cs="Arial"/>
                <w:b/>
              </w:rPr>
            </w:pPr>
            <w:r>
              <w:rPr>
                <w:rFonts w:ascii="Aptos" w:eastAsia="Arial" w:hAnsi="Aptos" w:cs="Arial"/>
                <w:b/>
              </w:rPr>
              <w:t>1745 – 18</w:t>
            </w:r>
            <w:r w:rsidR="004107DD">
              <w:rPr>
                <w:rFonts w:ascii="Aptos" w:eastAsia="Arial" w:hAnsi="Aptos" w:cs="Arial"/>
                <w:b/>
              </w:rPr>
              <w:t>15</w:t>
            </w:r>
            <w:r>
              <w:rPr>
                <w:rFonts w:ascii="Aptos" w:eastAsia="Arial" w:hAnsi="Aptos" w:cs="Arial"/>
                <w:b/>
              </w:rPr>
              <w:t xml:space="preserve"> Hrs.</w:t>
            </w:r>
          </w:p>
        </w:tc>
        <w:tc>
          <w:tcPr>
            <w:tcW w:w="76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D65705" w14:textId="7CEF9455" w:rsidR="00AE78CD" w:rsidRDefault="00812B9A">
            <w:pPr>
              <w:keepNext/>
              <w:ind w:left="145"/>
              <w:jc w:val="both"/>
              <w:rPr>
                <w:rFonts w:ascii="Aptos" w:eastAsia="Arial" w:hAnsi="Aptos" w:cs="Arial"/>
              </w:rPr>
            </w:pPr>
            <w:r>
              <w:rPr>
                <w:rFonts w:ascii="Aptos" w:eastAsia="Arial" w:hAnsi="Aptos" w:cs="Arial"/>
                <w:b/>
              </w:rPr>
              <w:t xml:space="preserve">SESSION VI: Leading Through Volatility – What CEOs Will Do Differently </w:t>
            </w:r>
          </w:p>
        </w:tc>
      </w:tr>
      <w:tr w:rsidR="00AE78CD" w14:paraId="15DEDD57"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27696433" w14:textId="77777777" w:rsidR="00AE78CD" w:rsidRDefault="00AE78CD">
            <w:pPr>
              <w:ind w:left="145"/>
              <w:rPr>
                <w:rFonts w:ascii="Aptos" w:eastAsia="Arial" w:hAnsi="Aptos" w:cs="Arial"/>
              </w:rPr>
            </w:pPr>
          </w:p>
        </w:tc>
        <w:tc>
          <w:tcPr>
            <w:tcW w:w="7650" w:type="dxa"/>
            <w:tcBorders>
              <w:top w:val="single" w:sz="4" w:space="0" w:color="000000"/>
              <w:left w:val="single" w:sz="4" w:space="0" w:color="000000"/>
              <w:bottom w:val="single" w:sz="4" w:space="0" w:color="000000"/>
              <w:right w:val="single" w:sz="4" w:space="0" w:color="000000"/>
            </w:tcBorders>
            <w:vAlign w:val="center"/>
          </w:tcPr>
          <w:p w14:paraId="16D9FF49" w14:textId="77777777" w:rsidR="00AE78CD" w:rsidRDefault="00812B9A">
            <w:pPr>
              <w:ind w:left="145"/>
              <w:jc w:val="both"/>
              <w:rPr>
                <w:rFonts w:ascii="Aptos" w:eastAsia="Arial" w:hAnsi="Aptos" w:cs="Arial"/>
              </w:rPr>
            </w:pPr>
            <w:r>
              <w:rPr>
                <w:rFonts w:ascii="Aptos" w:eastAsia="Arial" w:hAnsi="Aptos" w:cs="Arial"/>
              </w:rPr>
              <w:t>Volatility puts leadership judgement, priorities and trade-offs to the test. This closing conversation with senior FMCG leaders will bring together the day’s themes against a changing macroeconomic and geopolitical backdrop. The discussion will connect shifts in demand and supply-side risk with the choices explored on business models, portfolios, channels and enabling capabilities. Drawing on their experience, leaders will examine how priorities change as conditions evolve, what can be learnt from previous periods of uncertainty, and where a different response is needed. The focus will be on the decisions leadership teams face: what to retain, what to rethink and where to act.</w:t>
            </w:r>
          </w:p>
          <w:p w14:paraId="1F944319" w14:textId="2396E503" w:rsidR="00AE78CD" w:rsidRDefault="00AE78CD" w:rsidP="00D40FB0">
            <w:pPr>
              <w:rPr>
                <w:rFonts w:ascii="Aptos" w:eastAsia="Arial" w:hAnsi="Aptos" w:cs="Arial"/>
              </w:rPr>
            </w:pPr>
          </w:p>
        </w:tc>
      </w:tr>
    </w:tbl>
    <w:p w14:paraId="61DD9449" w14:textId="77777777" w:rsidR="00AE78CD" w:rsidRDefault="00AE78CD">
      <w:pPr>
        <w:rPr>
          <w:rFonts w:ascii="Aptos" w:eastAsia="Arial" w:hAnsi="Aptos" w:cs="Arial"/>
        </w:rPr>
      </w:pPr>
    </w:p>
    <w:p w14:paraId="0C8E98ED" w14:textId="5C218C69" w:rsidR="00AE78CD" w:rsidRDefault="00AE78CD">
      <w:pPr>
        <w:jc w:val="center"/>
        <w:rPr>
          <w:rFonts w:ascii="Aptos" w:eastAsia="Arial" w:hAnsi="Aptos" w:cs="Arial"/>
          <w:b/>
          <w:sz w:val="28"/>
          <w:u w:val="single" w:color="000000"/>
        </w:rPr>
      </w:pPr>
    </w:p>
    <w:p w14:paraId="558D7EDC" w14:textId="77777777" w:rsidR="00AE78CD" w:rsidRDefault="00AE78CD">
      <w:pPr>
        <w:spacing w:after="0" w:line="240" w:lineRule="auto"/>
        <w:rPr>
          <w:rFonts w:ascii="Aptos" w:eastAsia="Arial" w:hAnsi="Aptos" w:cs="Arial"/>
        </w:rPr>
      </w:pPr>
    </w:p>
    <w:p w14:paraId="3F71EBCA" w14:textId="77777777" w:rsidR="00F73119" w:rsidRDefault="00F73119">
      <w:pPr>
        <w:spacing w:after="0" w:line="240" w:lineRule="auto"/>
        <w:rPr>
          <w:rFonts w:ascii="Aptos" w:eastAsia="Arial" w:hAnsi="Aptos" w:cs="Arial"/>
        </w:rPr>
      </w:pPr>
    </w:p>
    <w:p w14:paraId="211BF8F1" w14:textId="77777777" w:rsidR="00F73119" w:rsidRDefault="00F73119">
      <w:pPr>
        <w:spacing w:after="0" w:line="240" w:lineRule="auto"/>
        <w:rPr>
          <w:rFonts w:ascii="Aptos" w:eastAsia="Arial" w:hAnsi="Aptos" w:cs="Arial"/>
        </w:rPr>
      </w:pPr>
    </w:p>
    <w:p w14:paraId="68B51983" w14:textId="77777777" w:rsidR="00F73119" w:rsidRDefault="00F73119">
      <w:pPr>
        <w:spacing w:after="0" w:line="240" w:lineRule="auto"/>
        <w:rPr>
          <w:rFonts w:ascii="Aptos" w:eastAsia="Arial" w:hAnsi="Aptos" w:cs="Arial"/>
        </w:rPr>
      </w:pPr>
    </w:p>
    <w:p w14:paraId="5E2CBFF1" w14:textId="77777777" w:rsidR="00F73119" w:rsidRDefault="00F73119">
      <w:pPr>
        <w:spacing w:after="0" w:line="240" w:lineRule="auto"/>
        <w:rPr>
          <w:rFonts w:ascii="Aptos" w:eastAsia="Arial" w:hAnsi="Aptos" w:cs="Arial"/>
        </w:rPr>
      </w:pPr>
    </w:p>
    <w:p w14:paraId="40016E78" w14:textId="77777777" w:rsidR="00F73119" w:rsidRDefault="00F73119">
      <w:pPr>
        <w:spacing w:after="0" w:line="240" w:lineRule="auto"/>
        <w:rPr>
          <w:rFonts w:ascii="Aptos" w:eastAsia="Arial" w:hAnsi="Aptos" w:cs="Arial"/>
        </w:rPr>
      </w:pPr>
    </w:p>
    <w:p w14:paraId="6963FD15" w14:textId="77777777" w:rsidR="00F73119" w:rsidRDefault="00F73119">
      <w:pPr>
        <w:spacing w:after="0" w:line="240" w:lineRule="auto"/>
        <w:rPr>
          <w:rFonts w:ascii="Aptos" w:eastAsia="Arial" w:hAnsi="Aptos" w:cs="Arial"/>
        </w:rPr>
      </w:pPr>
    </w:p>
    <w:p w14:paraId="262F7CF4" w14:textId="77777777" w:rsidR="00F73119" w:rsidRDefault="00F73119">
      <w:pPr>
        <w:spacing w:after="0" w:line="240" w:lineRule="auto"/>
        <w:rPr>
          <w:rFonts w:ascii="Aptos" w:eastAsia="Arial" w:hAnsi="Aptos" w:cs="Arial"/>
        </w:rPr>
      </w:pPr>
    </w:p>
    <w:p w14:paraId="4FADA527" w14:textId="77777777" w:rsidR="00AE78CD" w:rsidRDefault="00AE78CD">
      <w:pPr>
        <w:spacing w:after="0" w:line="240" w:lineRule="auto"/>
        <w:rPr>
          <w:rFonts w:ascii="Aptos" w:eastAsia="Arial" w:hAnsi="Aptos" w:cs="Arial"/>
        </w:rPr>
      </w:pPr>
    </w:p>
    <w:sectPr w:rsidR="00AE78CD" w:rsidSect="008F4545">
      <w:headerReference w:type="even" r:id="rId9"/>
      <w:headerReference w:type="default" r:id="rId10"/>
      <w:footerReference w:type="even" r:id="rId11"/>
      <w:footerReference w:type="default" r:id="rId12"/>
      <w:headerReference w:type="first" r:id="rId13"/>
      <w:footerReference w:type="first" r:id="rId14"/>
      <w:pgSz w:w="11906" w:h="16838"/>
      <w:pgMar w:top="284"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4F341" w14:textId="77777777" w:rsidR="00480608" w:rsidRDefault="00480608">
      <w:pPr>
        <w:spacing w:after="0" w:line="240" w:lineRule="auto"/>
      </w:pPr>
      <w:r>
        <w:separator/>
      </w:r>
    </w:p>
  </w:endnote>
  <w:endnote w:type="continuationSeparator" w:id="0">
    <w:p w14:paraId="3C1AF8E8" w14:textId="77777777" w:rsidR="00480608" w:rsidRDefault="00480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EE7F" w14:textId="77777777" w:rsidR="00631F30" w:rsidRDefault="00631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AB75" w14:textId="77777777" w:rsidR="00631F30" w:rsidRDefault="00631F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3D5D" w14:textId="77777777" w:rsidR="00631F30" w:rsidRDefault="00631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FD48" w14:textId="77777777" w:rsidR="00480608" w:rsidRDefault="00480608">
      <w:pPr>
        <w:spacing w:after="0" w:line="240" w:lineRule="auto"/>
      </w:pPr>
      <w:r>
        <w:separator/>
      </w:r>
    </w:p>
  </w:footnote>
  <w:footnote w:type="continuationSeparator" w:id="0">
    <w:p w14:paraId="6EF163BB" w14:textId="77777777" w:rsidR="00480608" w:rsidRDefault="00480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6372" w14:textId="77777777" w:rsidR="00631F30" w:rsidRDefault="00631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9F07" w14:textId="77777777" w:rsidR="00631F30" w:rsidRDefault="00631F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74D4" w14:textId="77777777" w:rsidR="00631F30" w:rsidRDefault="00631F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49B9"/>
    <w:multiLevelType w:val="hybridMultilevel"/>
    <w:tmpl w:val="2000ED1E"/>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 w15:restartNumberingAfterBreak="0">
    <w:nsid w:val="15033750"/>
    <w:multiLevelType w:val="multilevel"/>
    <w:tmpl w:val="642C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A65A9"/>
    <w:multiLevelType w:val="hybridMultilevel"/>
    <w:tmpl w:val="AF109840"/>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3" w15:restartNumberingAfterBreak="0">
    <w:nsid w:val="328E29EB"/>
    <w:multiLevelType w:val="hybridMultilevel"/>
    <w:tmpl w:val="A7CCC182"/>
    <w:lvl w:ilvl="0" w:tplc="F2124452">
      <w:start w:val="1"/>
      <w:numFmt w:val="bullet"/>
      <w:lvlText w:val="•"/>
      <w:lvlJc w:val="left"/>
      <w:pPr>
        <w:ind w:left="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0693FC">
      <w:start w:val="1"/>
      <w:numFmt w:val="bullet"/>
      <w:lvlText w:val="o"/>
      <w:lvlJc w:val="left"/>
      <w:pPr>
        <w:ind w:left="14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08BC5C">
      <w:start w:val="1"/>
      <w:numFmt w:val="bullet"/>
      <w:lvlText w:val="▪"/>
      <w:lvlJc w:val="left"/>
      <w:pPr>
        <w:ind w:left="22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F2571E">
      <w:start w:val="1"/>
      <w:numFmt w:val="bullet"/>
      <w:lvlText w:val="•"/>
      <w:lvlJc w:val="left"/>
      <w:pPr>
        <w:ind w:left="29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F690F8">
      <w:start w:val="1"/>
      <w:numFmt w:val="bullet"/>
      <w:lvlText w:val="o"/>
      <w:lvlJc w:val="left"/>
      <w:pPr>
        <w:ind w:left="36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86B2BC">
      <w:start w:val="1"/>
      <w:numFmt w:val="bullet"/>
      <w:lvlText w:val="▪"/>
      <w:lvlJc w:val="left"/>
      <w:pPr>
        <w:ind w:left="43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245CA2">
      <w:start w:val="1"/>
      <w:numFmt w:val="bullet"/>
      <w:lvlText w:val="•"/>
      <w:lvlJc w:val="left"/>
      <w:pPr>
        <w:ind w:left="5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80B06C">
      <w:start w:val="1"/>
      <w:numFmt w:val="bullet"/>
      <w:lvlText w:val="o"/>
      <w:lvlJc w:val="left"/>
      <w:pPr>
        <w:ind w:left="58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44EA4A">
      <w:start w:val="1"/>
      <w:numFmt w:val="bullet"/>
      <w:lvlText w:val="▪"/>
      <w:lvlJc w:val="left"/>
      <w:pPr>
        <w:ind w:left="65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2E83234"/>
    <w:multiLevelType w:val="hybridMultilevel"/>
    <w:tmpl w:val="6118667C"/>
    <w:lvl w:ilvl="0" w:tplc="4FEECA2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B46EA0">
      <w:start w:val="1"/>
      <w:numFmt w:val="bullet"/>
      <w:lvlText w:val="o"/>
      <w:lvlJc w:val="left"/>
      <w:pPr>
        <w:ind w:left="1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A48F82">
      <w:start w:val="1"/>
      <w:numFmt w:val="bullet"/>
      <w:lvlText w:val="▪"/>
      <w:lvlJc w:val="left"/>
      <w:pPr>
        <w:ind w:left="2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CE2E4C">
      <w:start w:val="1"/>
      <w:numFmt w:val="bullet"/>
      <w:lvlText w:val="•"/>
      <w:lvlJc w:val="left"/>
      <w:pPr>
        <w:ind w:left="2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2C43A0">
      <w:start w:val="1"/>
      <w:numFmt w:val="bullet"/>
      <w:lvlText w:val="o"/>
      <w:lvlJc w:val="left"/>
      <w:pPr>
        <w:ind w:left="36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3EF3B2">
      <w:start w:val="1"/>
      <w:numFmt w:val="bullet"/>
      <w:lvlText w:val="▪"/>
      <w:lvlJc w:val="left"/>
      <w:pPr>
        <w:ind w:left="4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AAFA96">
      <w:start w:val="1"/>
      <w:numFmt w:val="bullet"/>
      <w:lvlText w:val="•"/>
      <w:lvlJc w:val="left"/>
      <w:pPr>
        <w:ind w:left="5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6C0B9C">
      <w:start w:val="1"/>
      <w:numFmt w:val="bullet"/>
      <w:lvlText w:val="o"/>
      <w:lvlJc w:val="left"/>
      <w:pPr>
        <w:ind w:left="57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74F01E">
      <w:start w:val="1"/>
      <w:numFmt w:val="bullet"/>
      <w:lvlText w:val="▪"/>
      <w:lvlJc w:val="left"/>
      <w:pPr>
        <w:ind w:left="64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F636B61"/>
    <w:multiLevelType w:val="hybridMultilevel"/>
    <w:tmpl w:val="7FEE39A4"/>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532F0B32"/>
    <w:multiLevelType w:val="hybridMultilevel"/>
    <w:tmpl w:val="458A178E"/>
    <w:lvl w:ilvl="0" w:tplc="9594F416">
      <w:start w:val="1"/>
      <w:numFmt w:val="bullet"/>
      <w:lvlText w:val="•"/>
      <w:lvlJc w:val="left"/>
      <w:pPr>
        <w:ind w:left="8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E44BE8">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6CE50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E0D67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2210B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0832E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8EEAB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4805C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E0AD2F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90C5E3E"/>
    <w:multiLevelType w:val="hybridMultilevel"/>
    <w:tmpl w:val="62143588"/>
    <w:lvl w:ilvl="0" w:tplc="6DEC7BD6">
      <w:start w:val="1"/>
      <w:numFmt w:val="bullet"/>
      <w:lvlText w:val="•"/>
      <w:lvlJc w:val="left"/>
      <w:pPr>
        <w:ind w:left="1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D0BC18">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3AC7A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7CE8C2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5616CC">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C30B20C">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BA256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76C3B4">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7C0BA7E">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A431268"/>
    <w:multiLevelType w:val="multilevel"/>
    <w:tmpl w:val="953E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6D0C2A"/>
    <w:multiLevelType w:val="hybridMultilevel"/>
    <w:tmpl w:val="CA328246"/>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771124A0"/>
    <w:multiLevelType w:val="hybridMultilevel"/>
    <w:tmpl w:val="8C369A52"/>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79144EF4"/>
    <w:multiLevelType w:val="hybridMultilevel"/>
    <w:tmpl w:val="589CD258"/>
    <w:lvl w:ilvl="0" w:tplc="0809000F">
      <w:start w:val="1"/>
      <w:numFmt w:val="decimal"/>
      <w:lvlText w:val="%1."/>
      <w:lvlJc w:val="left"/>
      <w:pPr>
        <w:ind w:left="865" w:hanging="360"/>
      </w:p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num w:numId="1" w16cid:durableId="262566942">
    <w:abstractNumId w:val="4"/>
  </w:num>
  <w:num w:numId="2" w16cid:durableId="1695231445">
    <w:abstractNumId w:val="3"/>
  </w:num>
  <w:num w:numId="3" w16cid:durableId="609046346">
    <w:abstractNumId w:val="6"/>
  </w:num>
  <w:num w:numId="4" w16cid:durableId="1781951026">
    <w:abstractNumId w:val="7"/>
  </w:num>
  <w:num w:numId="5" w16cid:durableId="2126925044">
    <w:abstractNumId w:val="10"/>
  </w:num>
  <w:num w:numId="6" w16cid:durableId="3948078">
    <w:abstractNumId w:val="2"/>
  </w:num>
  <w:num w:numId="7" w16cid:durableId="1636524814">
    <w:abstractNumId w:val="9"/>
  </w:num>
  <w:num w:numId="8" w16cid:durableId="1824665298">
    <w:abstractNumId w:val="11"/>
  </w:num>
  <w:num w:numId="9" w16cid:durableId="145325269">
    <w:abstractNumId w:val="5"/>
  </w:num>
  <w:num w:numId="10" w16cid:durableId="1826700341">
    <w:abstractNumId w:val="0"/>
  </w:num>
  <w:num w:numId="11" w16cid:durableId="66415248">
    <w:abstractNumId w:val="1"/>
  </w:num>
  <w:num w:numId="12" w16cid:durableId="1170801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67A"/>
    <w:rsid w:val="000031AB"/>
    <w:rsid w:val="00004451"/>
    <w:rsid w:val="0000668F"/>
    <w:rsid w:val="00010D19"/>
    <w:rsid w:val="00023FFE"/>
    <w:rsid w:val="000253FF"/>
    <w:rsid w:val="00036FC0"/>
    <w:rsid w:val="0004343F"/>
    <w:rsid w:val="00044B64"/>
    <w:rsid w:val="000510B2"/>
    <w:rsid w:val="0005286D"/>
    <w:rsid w:val="00052EF7"/>
    <w:rsid w:val="00053FD1"/>
    <w:rsid w:val="00057337"/>
    <w:rsid w:val="00061AEF"/>
    <w:rsid w:val="00062793"/>
    <w:rsid w:val="0006364E"/>
    <w:rsid w:val="0006533F"/>
    <w:rsid w:val="00067A2D"/>
    <w:rsid w:val="00072A54"/>
    <w:rsid w:val="0007427F"/>
    <w:rsid w:val="00076B97"/>
    <w:rsid w:val="000800D0"/>
    <w:rsid w:val="000825FF"/>
    <w:rsid w:val="0008382A"/>
    <w:rsid w:val="00084412"/>
    <w:rsid w:val="00090F67"/>
    <w:rsid w:val="000920AC"/>
    <w:rsid w:val="000934CA"/>
    <w:rsid w:val="000A1655"/>
    <w:rsid w:val="000A2B92"/>
    <w:rsid w:val="000B4850"/>
    <w:rsid w:val="000B7DFC"/>
    <w:rsid w:val="000C03FE"/>
    <w:rsid w:val="000C1EC9"/>
    <w:rsid w:val="000C4544"/>
    <w:rsid w:val="000C5609"/>
    <w:rsid w:val="000C7818"/>
    <w:rsid w:val="000D13F7"/>
    <w:rsid w:val="000D4635"/>
    <w:rsid w:val="000D6460"/>
    <w:rsid w:val="000D6C15"/>
    <w:rsid w:val="000E6754"/>
    <w:rsid w:val="000E7821"/>
    <w:rsid w:val="000F1C7B"/>
    <w:rsid w:val="001020ED"/>
    <w:rsid w:val="00102C82"/>
    <w:rsid w:val="00113E53"/>
    <w:rsid w:val="00115366"/>
    <w:rsid w:val="0014603F"/>
    <w:rsid w:val="001525E3"/>
    <w:rsid w:val="001609B6"/>
    <w:rsid w:val="00161ABD"/>
    <w:rsid w:val="00162D8E"/>
    <w:rsid w:val="00170465"/>
    <w:rsid w:val="0017239C"/>
    <w:rsid w:val="00172460"/>
    <w:rsid w:val="00195C65"/>
    <w:rsid w:val="00196019"/>
    <w:rsid w:val="001A393F"/>
    <w:rsid w:val="001A45B5"/>
    <w:rsid w:val="001A4BE5"/>
    <w:rsid w:val="001A7ABC"/>
    <w:rsid w:val="001B3F10"/>
    <w:rsid w:val="001D1CED"/>
    <w:rsid w:val="001E065D"/>
    <w:rsid w:val="001E156B"/>
    <w:rsid w:val="001E1B14"/>
    <w:rsid w:val="001E6D6F"/>
    <w:rsid w:val="001F11CA"/>
    <w:rsid w:val="001F271B"/>
    <w:rsid w:val="001F3D63"/>
    <w:rsid w:val="001F3FB8"/>
    <w:rsid w:val="002010F3"/>
    <w:rsid w:val="0020267E"/>
    <w:rsid w:val="00216220"/>
    <w:rsid w:val="00221D95"/>
    <w:rsid w:val="00234376"/>
    <w:rsid w:val="00240032"/>
    <w:rsid w:val="00246C4A"/>
    <w:rsid w:val="00256EBC"/>
    <w:rsid w:val="00263327"/>
    <w:rsid w:val="00263852"/>
    <w:rsid w:val="00272075"/>
    <w:rsid w:val="002744CE"/>
    <w:rsid w:val="002754F6"/>
    <w:rsid w:val="00275B31"/>
    <w:rsid w:val="0027709B"/>
    <w:rsid w:val="0027727E"/>
    <w:rsid w:val="00282C58"/>
    <w:rsid w:val="00282D08"/>
    <w:rsid w:val="00287FB4"/>
    <w:rsid w:val="002A403C"/>
    <w:rsid w:val="002B09DA"/>
    <w:rsid w:val="002B1562"/>
    <w:rsid w:val="002E17C2"/>
    <w:rsid w:val="002E2026"/>
    <w:rsid w:val="002F0FB2"/>
    <w:rsid w:val="002F7A01"/>
    <w:rsid w:val="00300D3F"/>
    <w:rsid w:val="00312C12"/>
    <w:rsid w:val="00322E9F"/>
    <w:rsid w:val="00326ADA"/>
    <w:rsid w:val="00337617"/>
    <w:rsid w:val="00343D5F"/>
    <w:rsid w:val="00345CAE"/>
    <w:rsid w:val="0034729D"/>
    <w:rsid w:val="003477AE"/>
    <w:rsid w:val="0035225E"/>
    <w:rsid w:val="0035683D"/>
    <w:rsid w:val="00357532"/>
    <w:rsid w:val="00360054"/>
    <w:rsid w:val="00370B3E"/>
    <w:rsid w:val="00380BD9"/>
    <w:rsid w:val="003846C7"/>
    <w:rsid w:val="00391574"/>
    <w:rsid w:val="003A2E94"/>
    <w:rsid w:val="003B579A"/>
    <w:rsid w:val="003B5BF0"/>
    <w:rsid w:val="003B5E3A"/>
    <w:rsid w:val="003C32B2"/>
    <w:rsid w:val="003D18BE"/>
    <w:rsid w:val="003D38C7"/>
    <w:rsid w:val="003E2EF2"/>
    <w:rsid w:val="003E3ED9"/>
    <w:rsid w:val="003F1B70"/>
    <w:rsid w:val="003F5EDD"/>
    <w:rsid w:val="004005FF"/>
    <w:rsid w:val="004107DD"/>
    <w:rsid w:val="00415276"/>
    <w:rsid w:val="0043238C"/>
    <w:rsid w:val="00433034"/>
    <w:rsid w:val="0043763D"/>
    <w:rsid w:val="00443D7F"/>
    <w:rsid w:val="004465EC"/>
    <w:rsid w:val="0045139A"/>
    <w:rsid w:val="00455A70"/>
    <w:rsid w:val="00456628"/>
    <w:rsid w:val="00461C4D"/>
    <w:rsid w:val="004633A2"/>
    <w:rsid w:val="00470C6C"/>
    <w:rsid w:val="0047127A"/>
    <w:rsid w:val="00476FD6"/>
    <w:rsid w:val="00480608"/>
    <w:rsid w:val="004844DB"/>
    <w:rsid w:val="004918B2"/>
    <w:rsid w:val="004A7509"/>
    <w:rsid w:val="004A779B"/>
    <w:rsid w:val="004D01E8"/>
    <w:rsid w:val="004D54B7"/>
    <w:rsid w:val="004E2031"/>
    <w:rsid w:val="004E32A4"/>
    <w:rsid w:val="00505E56"/>
    <w:rsid w:val="00507409"/>
    <w:rsid w:val="005128A0"/>
    <w:rsid w:val="005135BF"/>
    <w:rsid w:val="00526551"/>
    <w:rsid w:val="0053270C"/>
    <w:rsid w:val="00532DC9"/>
    <w:rsid w:val="005367FA"/>
    <w:rsid w:val="005421C6"/>
    <w:rsid w:val="00542EB3"/>
    <w:rsid w:val="005459B6"/>
    <w:rsid w:val="00555209"/>
    <w:rsid w:val="0055559C"/>
    <w:rsid w:val="00557F3C"/>
    <w:rsid w:val="00562C8A"/>
    <w:rsid w:val="005669A3"/>
    <w:rsid w:val="0056703E"/>
    <w:rsid w:val="005701E3"/>
    <w:rsid w:val="00586A9D"/>
    <w:rsid w:val="005A2CE7"/>
    <w:rsid w:val="005B4E42"/>
    <w:rsid w:val="005B5400"/>
    <w:rsid w:val="005B604A"/>
    <w:rsid w:val="005B67EC"/>
    <w:rsid w:val="005B76BB"/>
    <w:rsid w:val="005B7F0B"/>
    <w:rsid w:val="005D6C7D"/>
    <w:rsid w:val="005E1D0D"/>
    <w:rsid w:val="005E222E"/>
    <w:rsid w:val="005F253C"/>
    <w:rsid w:val="005F3D28"/>
    <w:rsid w:val="005F4702"/>
    <w:rsid w:val="006063EF"/>
    <w:rsid w:val="0060684E"/>
    <w:rsid w:val="00612046"/>
    <w:rsid w:val="00612633"/>
    <w:rsid w:val="006226C9"/>
    <w:rsid w:val="00631F30"/>
    <w:rsid w:val="006341C8"/>
    <w:rsid w:val="00635D85"/>
    <w:rsid w:val="006432CC"/>
    <w:rsid w:val="00644659"/>
    <w:rsid w:val="006529B3"/>
    <w:rsid w:val="0065551D"/>
    <w:rsid w:val="0066060C"/>
    <w:rsid w:val="006626C6"/>
    <w:rsid w:val="00663150"/>
    <w:rsid w:val="00666F7D"/>
    <w:rsid w:val="006701B9"/>
    <w:rsid w:val="0067442E"/>
    <w:rsid w:val="0067485A"/>
    <w:rsid w:val="0067797E"/>
    <w:rsid w:val="0068036B"/>
    <w:rsid w:val="006858C6"/>
    <w:rsid w:val="00694E05"/>
    <w:rsid w:val="006974F1"/>
    <w:rsid w:val="006A381F"/>
    <w:rsid w:val="006B0974"/>
    <w:rsid w:val="006B3EFE"/>
    <w:rsid w:val="006B6380"/>
    <w:rsid w:val="006C3762"/>
    <w:rsid w:val="006C5275"/>
    <w:rsid w:val="006D3C61"/>
    <w:rsid w:val="006E0E57"/>
    <w:rsid w:val="006E18E5"/>
    <w:rsid w:val="006E20DF"/>
    <w:rsid w:val="006E6140"/>
    <w:rsid w:val="006F38A4"/>
    <w:rsid w:val="006F603D"/>
    <w:rsid w:val="00706221"/>
    <w:rsid w:val="00710BD9"/>
    <w:rsid w:val="00715012"/>
    <w:rsid w:val="00717CB4"/>
    <w:rsid w:val="0072277F"/>
    <w:rsid w:val="00723647"/>
    <w:rsid w:val="0072766E"/>
    <w:rsid w:val="007336E1"/>
    <w:rsid w:val="007346DA"/>
    <w:rsid w:val="007616B5"/>
    <w:rsid w:val="00766A1E"/>
    <w:rsid w:val="00767568"/>
    <w:rsid w:val="007855F8"/>
    <w:rsid w:val="00791161"/>
    <w:rsid w:val="00797F5D"/>
    <w:rsid w:val="007A3AD2"/>
    <w:rsid w:val="007A4AEE"/>
    <w:rsid w:val="007B09ED"/>
    <w:rsid w:val="007C3400"/>
    <w:rsid w:val="007C6BC3"/>
    <w:rsid w:val="007D22B8"/>
    <w:rsid w:val="007D2A03"/>
    <w:rsid w:val="007D2D06"/>
    <w:rsid w:val="007D3B2B"/>
    <w:rsid w:val="007D45C1"/>
    <w:rsid w:val="007E065E"/>
    <w:rsid w:val="007E5F07"/>
    <w:rsid w:val="007E68B2"/>
    <w:rsid w:val="007E6ABE"/>
    <w:rsid w:val="007E6F9B"/>
    <w:rsid w:val="007F0670"/>
    <w:rsid w:val="007F3292"/>
    <w:rsid w:val="007F5B14"/>
    <w:rsid w:val="00800161"/>
    <w:rsid w:val="008016B1"/>
    <w:rsid w:val="0080326C"/>
    <w:rsid w:val="00806438"/>
    <w:rsid w:val="008072D5"/>
    <w:rsid w:val="00812B9A"/>
    <w:rsid w:val="00827C96"/>
    <w:rsid w:val="00837C1D"/>
    <w:rsid w:val="00837D23"/>
    <w:rsid w:val="0085414B"/>
    <w:rsid w:val="00857D66"/>
    <w:rsid w:val="00865F3B"/>
    <w:rsid w:val="00866BB7"/>
    <w:rsid w:val="00866D60"/>
    <w:rsid w:val="00892960"/>
    <w:rsid w:val="008932AC"/>
    <w:rsid w:val="0089428B"/>
    <w:rsid w:val="00894FFA"/>
    <w:rsid w:val="008A1458"/>
    <w:rsid w:val="008A1EE9"/>
    <w:rsid w:val="008A3FCE"/>
    <w:rsid w:val="008A54EE"/>
    <w:rsid w:val="008B2779"/>
    <w:rsid w:val="008B5949"/>
    <w:rsid w:val="008C09EA"/>
    <w:rsid w:val="008C23D5"/>
    <w:rsid w:val="008C6C42"/>
    <w:rsid w:val="008C75EC"/>
    <w:rsid w:val="008D5023"/>
    <w:rsid w:val="008E10FE"/>
    <w:rsid w:val="008E3B99"/>
    <w:rsid w:val="008F0816"/>
    <w:rsid w:val="008F2E66"/>
    <w:rsid w:val="008F4545"/>
    <w:rsid w:val="00902237"/>
    <w:rsid w:val="009074FA"/>
    <w:rsid w:val="0090762B"/>
    <w:rsid w:val="00907B34"/>
    <w:rsid w:val="0091178E"/>
    <w:rsid w:val="0092067A"/>
    <w:rsid w:val="009210D6"/>
    <w:rsid w:val="009229AB"/>
    <w:rsid w:val="009313F0"/>
    <w:rsid w:val="009348AD"/>
    <w:rsid w:val="0094167D"/>
    <w:rsid w:val="00951F18"/>
    <w:rsid w:val="00953E47"/>
    <w:rsid w:val="009566A4"/>
    <w:rsid w:val="00961A8B"/>
    <w:rsid w:val="00963AE5"/>
    <w:rsid w:val="0097013F"/>
    <w:rsid w:val="00971DB5"/>
    <w:rsid w:val="009733B7"/>
    <w:rsid w:val="0098206A"/>
    <w:rsid w:val="00985765"/>
    <w:rsid w:val="00986147"/>
    <w:rsid w:val="0099548C"/>
    <w:rsid w:val="009964FC"/>
    <w:rsid w:val="009967A9"/>
    <w:rsid w:val="0099748C"/>
    <w:rsid w:val="009A0B25"/>
    <w:rsid w:val="009A1D90"/>
    <w:rsid w:val="009A44BC"/>
    <w:rsid w:val="009B2132"/>
    <w:rsid w:val="009B3602"/>
    <w:rsid w:val="009B4B7B"/>
    <w:rsid w:val="009C196D"/>
    <w:rsid w:val="009C2583"/>
    <w:rsid w:val="009C67AA"/>
    <w:rsid w:val="009E261B"/>
    <w:rsid w:val="009E66AA"/>
    <w:rsid w:val="009F4D53"/>
    <w:rsid w:val="009F6563"/>
    <w:rsid w:val="009F6623"/>
    <w:rsid w:val="00A115B7"/>
    <w:rsid w:val="00A13D6E"/>
    <w:rsid w:val="00A20A68"/>
    <w:rsid w:val="00A225B6"/>
    <w:rsid w:val="00A31E5E"/>
    <w:rsid w:val="00A32B1E"/>
    <w:rsid w:val="00A355B1"/>
    <w:rsid w:val="00A44630"/>
    <w:rsid w:val="00A51055"/>
    <w:rsid w:val="00A5673B"/>
    <w:rsid w:val="00A569BF"/>
    <w:rsid w:val="00A64E22"/>
    <w:rsid w:val="00A7223B"/>
    <w:rsid w:val="00A73F1D"/>
    <w:rsid w:val="00A76045"/>
    <w:rsid w:val="00A82176"/>
    <w:rsid w:val="00A855D9"/>
    <w:rsid w:val="00A86C27"/>
    <w:rsid w:val="00A95855"/>
    <w:rsid w:val="00AA24CD"/>
    <w:rsid w:val="00AA775C"/>
    <w:rsid w:val="00AB332C"/>
    <w:rsid w:val="00AB41ED"/>
    <w:rsid w:val="00AB6E87"/>
    <w:rsid w:val="00AB7E14"/>
    <w:rsid w:val="00AC1C19"/>
    <w:rsid w:val="00AC64F4"/>
    <w:rsid w:val="00AD28BA"/>
    <w:rsid w:val="00AE03D5"/>
    <w:rsid w:val="00AE59AE"/>
    <w:rsid w:val="00AE5C31"/>
    <w:rsid w:val="00AE78CD"/>
    <w:rsid w:val="00AF0256"/>
    <w:rsid w:val="00AF2D22"/>
    <w:rsid w:val="00AF36AF"/>
    <w:rsid w:val="00B00CF4"/>
    <w:rsid w:val="00B02482"/>
    <w:rsid w:val="00B05C96"/>
    <w:rsid w:val="00B06726"/>
    <w:rsid w:val="00B07B8E"/>
    <w:rsid w:val="00B1376B"/>
    <w:rsid w:val="00B13FCA"/>
    <w:rsid w:val="00B17EB2"/>
    <w:rsid w:val="00B218C4"/>
    <w:rsid w:val="00B22492"/>
    <w:rsid w:val="00B3015D"/>
    <w:rsid w:val="00B36E33"/>
    <w:rsid w:val="00B36F3F"/>
    <w:rsid w:val="00B3742A"/>
    <w:rsid w:val="00B56E3F"/>
    <w:rsid w:val="00B62336"/>
    <w:rsid w:val="00B81A77"/>
    <w:rsid w:val="00B834DB"/>
    <w:rsid w:val="00B83EB8"/>
    <w:rsid w:val="00B97A69"/>
    <w:rsid w:val="00BA0C09"/>
    <w:rsid w:val="00BA7DA0"/>
    <w:rsid w:val="00BB289E"/>
    <w:rsid w:val="00BC790D"/>
    <w:rsid w:val="00BD1C1D"/>
    <w:rsid w:val="00BD285B"/>
    <w:rsid w:val="00BD3029"/>
    <w:rsid w:val="00BD41B4"/>
    <w:rsid w:val="00BE023E"/>
    <w:rsid w:val="00BE0C19"/>
    <w:rsid w:val="00BE53C9"/>
    <w:rsid w:val="00BE7D1B"/>
    <w:rsid w:val="00BF1CB9"/>
    <w:rsid w:val="00BF3E44"/>
    <w:rsid w:val="00C01B51"/>
    <w:rsid w:val="00C05D89"/>
    <w:rsid w:val="00C1668A"/>
    <w:rsid w:val="00C177F7"/>
    <w:rsid w:val="00C21AD0"/>
    <w:rsid w:val="00C2259A"/>
    <w:rsid w:val="00C2504B"/>
    <w:rsid w:val="00C37D32"/>
    <w:rsid w:val="00C428FD"/>
    <w:rsid w:val="00C42EF2"/>
    <w:rsid w:val="00C441DE"/>
    <w:rsid w:val="00C54429"/>
    <w:rsid w:val="00C6331B"/>
    <w:rsid w:val="00C63A2D"/>
    <w:rsid w:val="00C66008"/>
    <w:rsid w:val="00C83E48"/>
    <w:rsid w:val="00C91237"/>
    <w:rsid w:val="00CA05EF"/>
    <w:rsid w:val="00CA372F"/>
    <w:rsid w:val="00CB3A57"/>
    <w:rsid w:val="00CB577F"/>
    <w:rsid w:val="00CB5AB8"/>
    <w:rsid w:val="00CC20BB"/>
    <w:rsid w:val="00CC6CC2"/>
    <w:rsid w:val="00CC73A0"/>
    <w:rsid w:val="00CD4D51"/>
    <w:rsid w:val="00CD5A87"/>
    <w:rsid w:val="00CD6A40"/>
    <w:rsid w:val="00CE0D78"/>
    <w:rsid w:val="00D02A17"/>
    <w:rsid w:val="00D03CD6"/>
    <w:rsid w:val="00D03E46"/>
    <w:rsid w:val="00D068A0"/>
    <w:rsid w:val="00D167BA"/>
    <w:rsid w:val="00D17AF2"/>
    <w:rsid w:val="00D338D5"/>
    <w:rsid w:val="00D40FB0"/>
    <w:rsid w:val="00D433EE"/>
    <w:rsid w:val="00D56E6B"/>
    <w:rsid w:val="00D572C5"/>
    <w:rsid w:val="00D600F7"/>
    <w:rsid w:val="00D61CC6"/>
    <w:rsid w:val="00D66727"/>
    <w:rsid w:val="00D67095"/>
    <w:rsid w:val="00D74675"/>
    <w:rsid w:val="00D769DB"/>
    <w:rsid w:val="00D815E2"/>
    <w:rsid w:val="00DA6046"/>
    <w:rsid w:val="00DB036B"/>
    <w:rsid w:val="00DC0DC5"/>
    <w:rsid w:val="00DC4ADB"/>
    <w:rsid w:val="00DC5DCC"/>
    <w:rsid w:val="00DC6D9A"/>
    <w:rsid w:val="00DD0CE0"/>
    <w:rsid w:val="00DD5C1C"/>
    <w:rsid w:val="00DE0E2C"/>
    <w:rsid w:val="00DE31F1"/>
    <w:rsid w:val="00E01760"/>
    <w:rsid w:val="00E16796"/>
    <w:rsid w:val="00E307D1"/>
    <w:rsid w:val="00E32282"/>
    <w:rsid w:val="00E33680"/>
    <w:rsid w:val="00E400CE"/>
    <w:rsid w:val="00E4197A"/>
    <w:rsid w:val="00E44725"/>
    <w:rsid w:val="00E44DF1"/>
    <w:rsid w:val="00E51C6F"/>
    <w:rsid w:val="00E60A2E"/>
    <w:rsid w:val="00E624A0"/>
    <w:rsid w:val="00E8373A"/>
    <w:rsid w:val="00E86DB9"/>
    <w:rsid w:val="00E87BF5"/>
    <w:rsid w:val="00E911EF"/>
    <w:rsid w:val="00E95F11"/>
    <w:rsid w:val="00E96CBE"/>
    <w:rsid w:val="00E974AD"/>
    <w:rsid w:val="00EA05B3"/>
    <w:rsid w:val="00EA273C"/>
    <w:rsid w:val="00EA5604"/>
    <w:rsid w:val="00EB35AB"/>
    <w:rsid w:val="00EC09D7"/>
    <w:rsid w:val="00EC1AFB"/>
    <w:rsid w:val="00EC416A"/>
    <w:rsid w:val="00EC500B"/>
    <w:rsid w:val="00EC71CF"/>
    <w:rsid w:val="00ED0942"/>
    <w:rsid w:val="00ED1501"/>
    <w:rsid w:val="00ED232C"/>
    <w:rsid w:val="00EE169C"/>
    <w:rsid w:val="00EE2CAC"/>
    <w:rsid w:val="00EE4A92"/>
    <w:rsid w:val="00EE52C6"/>
    <w:rsid w:val="00EE639C"/>
    <w:rsid w:val="00EF1EFF"/>
    <w:rsid w:val="00EF341F"/>
    <w:rsid w:val="00F07605"/>
    <w:rsid w:val="00F100F4"/>
    <w:rsid w:val="00F203E6"/>
    <w:rsid w:val="00F22ABE"/>
    <w:rsid w:val="00F253D6"/>
    <w:rsid w:val="00F26E1A"/>
    <w:rsid w:val="00F35216"/>
    <w:rsid w:val="00F354A9"/>
    <w:rsid w:val="00F4036A"/>
    <w:rsid w:val="00F40D06"/>
    <w:rsid w:val="00F44902"/>
    <w:rsid w:val="00F47232"/>
    <w:rsid w:val="00F519BD"/>
    <w:rsid w:val="00F56133"/>
    <w:rsid w:val="00F615D1"/>
    <w:rsid w:val="00F61AD9"/>
    <w:rsid w:val="00F71908"/>
    <w:rsid w:val="00F71FBF"/>
    <w:rsid w:val="00F73119"/>
    <w:rsid w:val="00F73650"/>
    <w:rsid w:val="00F74BE4"/>
    <w:rsid w:val="00F756F9"/>
    <w:rsid w:val="00F75C99"/>
    <w:rsid w:val="00F80EFD"/>
    <w:rsid w:val="00F84305"/>
    <w:rsid w:val="00F91522"/>
    <w:rsid w:val="00F93943"/>
    <w:rsid w:val="00F9472A"/>
    <w:rsid w:val="00F9648E"/>
    <w:rsid w:val="00FB71CF"/>
    <w:rsid w:val="00FD2212"/>
    <w:rsid w:val="00FD249F"/>
    <w:rsid w:val="00FE07C4"/>
    <w:rsid w:val="00FE0FD3"/>
    <w:rsid w:val="00FF28A3"/>
    <w:rsid w:val="00FF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5A95E"/>
  <w15:docId w15:val="{6311639D-1EBB-4F4B-A2DD-7E71D9F4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3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1AB"/>
    <w:rPr>
      <w:rFonts w:ascii="Calibri" w:eastAsia="Calibri" w:hAnsi="Calibri" w:cs="Calibri"/>
      <w:color w:val="000000"/>
    </w:rPr>
  </w:style>
  <w:style w:type="paragraph" w:styleId="Footer">
    <w:name w:val="footer"/>
    <w:basedOn w:val="Normal"/>
    <w:link w:val="FooterChar"/>
    <w:uiPriority w:val="99"/>
    <w:unhideWhenUsed/>
    <w:rsid w:val="00003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1AB"/>
    <w:rPr>
      <w:rFonts w:ascii="Calibri" w:eastAsia="Calibri" w:hAnsi="Calibri" w:cs="Calibri"/>
      <w:color w:val="000000"/>
    </w:rPr>
  </w:style>
  <w:style w:type="paragraph" w:customStyle="1" w:styleId="TableParagraph">
    <w:name w:val="Table Paragraph"/>
    <w:basedOn w:val="Normal"/>
    <w:uiPriority w:val="1"/>
    <w:qFormat/>
    <w:rsid w:val="000C1EC9"/>
    <w:pPr>
      <w:widowControl w:val="0"/>
      <w:autoSpaceDE w:val="0"/>
      <w:autoSpaceDN w:val="0"/>
      <w:spacing w:after="0" w:line="240" w:lineRule="auto"/>
      <w:ind w:left="103"/>
    </w:pPr>
    <w:rPr>
      <w:rFonts w:ascii="Arial" w:eastAsia="Arial" w:hAnsi="Arial" w:cs="Arial"/>
      <w:color w:val="auto"/>
      <w:kern w:val="0"/>
    </w:rPr>
  </w:style>
  <w:style w:type="paragraph" w:styleId="NormalWeb">
    <w:name w:val="Normal (Web)"/>
    <w:basedOn w:val="Normal"/>
    <w:uiPriority w:val="99"/>
    <w:unhideWhenUsed/>
    <w:rsid w:val="0090762B"/>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styleId="Emphasis">
    <w:name w:val="Emphasis"/>
    <w:basedOn w:val="DefaultParagraphFont"/>
    <w:uiPriority w:val="20"/>
    <w:qFormat/>
    <w:rsid w:val="00345CAE"/>
    <w:rPr>
      <w:i/>
      <w:iCs/>
    </w:rPr>
  </w:style>
  <w:style w:type="character" w:styleId="Hyperlink">
    <w:name w:val="Hyperlink"/>
    <w:basedOn w:val="DefaultParagraphFont"/>
    <w:uiPriority w:val="99"/>
    <w:unhideWhenUsed/>
    <w:rsid w:val="000D13F7"/>
    <w:rPr>
      <w:color w:val="0563C1" w:themeColor="hyperlink"/>
      <w:u w:val="single"/>
    </w:rPr>
  </w:style>
  <w:style w:type="character" w:styleId="UnresolvedMention">
    <w:name w:val="Unresolved Mention"/>
    <w:basedOn w:val="DefaultParagraphFont"/>
    <w:uiPriority w:val="99"/>
    <w:semiHidden/>
    <w:unhideWhenUsed/>
    <w:rsid w:val="000D13F7"/>
    <w:rPr>
      <w:color w:val="605E5C"/>
      <w:shd w:val="clear" w:color="auto" w:fill="E1DFDD"/>
    </w:rPr>
  </w:style>
  <w:style w:type="paragraph" w:styleId="NoSpacing">
    <w:name w:val="No Spacing"/>
    <w:uiPriority w:val="1"/>
    <w:qFormat/>
    <w:rsid w:val="00ED1501"/>
    <w:pPr>
      <w:spacing w:after="0" w:line="240" w:lineRule="auto"/>
    </w:pPr>
    <w:rPr>
      <w:rFonts w:ascii="Calibri" w:eastAsia="Calibri" w:hAnsi="Calibri" w:cs="Calibri"/>
      <w:color w:val="000000"/>
    </w:rPr>
  </w:style>
  <w:style w:type="paragraph" w:styleId="CommentText">
    <w:name w:val="annotation text"/>
    <w:basedOn w:val="Normal"/>
    <w:link w:val="CommentTextChar"/>
    <w:uiPriority w:val="99"/>
    <w:semiHidden/>
    <w:unhideWhenUsed/>
    <w:rsid w:val="0067485A"/>
    <w:pPr>
      <w:spacing w:line="240" w:lineRule="auto"/>
    </w:pPr>
    <w:rPr>
      <w:sz w:val="20"/>
      <w:szCs w:val="20"/>
    </w:rPr>
  </w:style>
  <w:style w:type="character" w:customStyle="1" w:styleId="CommentTextChar">
    <w:name w:val="Comment Text Char"/>
    <w:basedOn w:val="DefaultParagraphFont"/>
    <w:link w:val="CommentText"/>
    <w:uiPriority w:val="99"/>
    <w:semiHidden/>
    <w:rsid w:val="0067485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67485A"/>
    <w:pPr>
      <w:spacing w:after="0"/>
    </w:pPr>
    <w:rPr>
      <w:rFonts w:ascii="Book Antiqua" w:eastAsiaTheme="minorHAnsi" w:hAnsi="Book Antiqua" w:cstheme="minorBidi"/>
      <w:b/>
      <w:bCs/>
      <w:color w:val="auto"/>
      <w:kern w:val="0"/>
      <w14:ligatures w14:val="none"/>
    </w:rPr>
  </w:style>
  <w:style w:type="character" w:customStyle="1" w:styleId="CommentSubjectChar">
    <w:name w:val="Comment Subject Char"/>
    <w:basedOn w:val="CommentTextChar"/>
    <w:link w:val="CommentSubject"/>
    <w:uiPriority w:val="99"/>
    <w:semiHidden/>
    <w:rsid w:val="0067485A"/>
    <w:rPr>
      <w:rFonts w:ascii="Book Antiqua" w:eastAsiaTheme="minorHAnsi" w:hAnsi="Book Antiqua" w:cs="Calibri"/>
      <w:b/>
      <w:bCs/>
      <w:color w:val="000000"/>
      <w:kern w:val="0"/>
      <w:sz w:val="20"/>
      <w:szCs w:val="20"/>
      <w14:ligatures w14:val="none"/>
    </w:rPr>
  </w:style>
  <w:style w:type="character" w:styleId="CommentReference">
    <w:name w:val="annotation reference"/>
    <w:basedOn w:val="DefaultParagraphFont"/>
    <w:uiPriority w:val="99"/>
    <w:semiHidden/>
    <w:unhideWhenUsed/>
    <w:rsid w:val="00F615D1"/>
    <w:rPr>
      <w:sz w:val="16"/>
      <w:szCs w:val="16"/>
    </w:rPr>
  </w:style>
  <w:style w:type="paragraph" w:customStyle="1" w:styleId="p1">
    <w:name w:val="p1"/>
    <w:basedOn w:val="Normal"/>
    <w:rsid w:val="008F2E66"/>
    <w:pPr>
      <w:spacing w:after="0" w:line="240" w:lineRule="auto"/>
    </w:pPr>
    <w:rPr>
      <w:rFonts w:ascii="Trebuchet MS" w:eastAsia="Times New Roman" w:hAnsi="Trebuchet MS" w:cs="Times New Roman"/>
      <w:color w:val="454545"/>
      <w:kern w:val="0"/>
      <w:sz w:val="18"/>
      <w:szCs w:val="18"/>
      <w:lang w:val="en-IN" w:eastAsia="en-GB"/>
      <w14:ligatures w14:val="none"/>
    </w:rPr>
  </w:style>
  <w:style w:type="paragraph" w:customStyle="1" w:styleId="p2">
    <w:name w:val="p2"/>
    <w:basedOn w:val="Normal"/>
    <w:rsid w:val="008F2E66"/>
    <w:pPr>
      <w:spacing w:after="0" w:line="240" w:lineRule="auto"/>
    </w:pPr>
    <w:rPr>
      <w:rFonts w:ascii="Trebuchet MS" w:eastAsia="Times New Roman" w:hAnsi="Trebuchet MS" w:cs="Times New Roman"/>
      <w:color w:val="454545"/>
      <w:kern w:val="0"/>
      <w:sz w:val="18"/>
      <w:szCs w:val="18"/>
      <w:lang w:val="en-IN" w:eastAsia="en-GB"/>
      <w14:ligatures w14:val="none"/>
    </w:rPr>
  </w:style>
  <w:style w:type="character" w:customStyle="1" w:styleId="apple-converted-space">
    <w:name w:val="apple-converted-space"/>
    <w:basedOn w:val="DefaultParagraphFont"/>
    <w:rsid w:val="008F2E66"/>
  </w:style>
  <w:style w:type="paragraph" w:styleId="ListParagraph">
    <w:name w:val="List Paragraph"/>
    <w:basedOn w:val="Normal"/>
    <w:uiPriority w:val="34"/>
    <w:qFormat/>
    <w:rsid w:val="00697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8909">
      <w:bodyDiv w:val="1"/>
      <w:marLeft w:val="0"/>
      <w:marRight w:val="0"/>
      <w:marTop w:val="0"/>
      <w:marBottom w:val="0"/>
      <w:divBdr>
        <w:top w:val="none" w:sz="0" w:space="0" w:color="auto"/>
        <w:left w:val="none" w:sz="0" w:space="0" w:color="auto"/>
        <w:bottom w:val="none" w:sz="0" w:space="0" w:color="auto"/>
        <w:right w:val="none" w:sz="0" w:space="0" w:color="auto"/>
      </w:divBdr>
    </w:div>
    <w:div w:id="1421366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Rajesh Halder</cp:lastModifiedBy>
  <cp:revision>8</cp:revision>
  <dcterms:created xsi:type="dcterms:W3CDTF">2026-10-29T10:29:00Z</dcterms:created>
  <dcterms:modified xsi:type="dcterms:W3CDTF">2026-11-03T10:32:00Z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6eb1942e7c3043dff2200bc0a2068d06865393cb194f9d418d3818fff2f56253</vt:lpwstr>
  </property>
  <property fmtid="{D5CDD505-2E9C-101B-9397-08002B2CF9AE}" pid="3" name="MSIP_Label_b0d5c4f4-7a29-4385-b7a5-afbe2154ae6f_Enabled">
    <vt:lpwstr>true</vt:lpwstr>
  </property>
  <property fmtid="{D5CDD505-2E9C-101B-9397-08002B2CF9AE}" pid="4" name="MSIP_Label_b0d5c4f4-7a29-4385-b7a5-afbe2154ae6f_SetDate">
    <vt:lpwstr>2026-10-28T15:12:49Z</vt:lpwstr>
  </property>
  <property fmtid="{D5CDD505-2E9C-101B-9397-08002B2CF9AE}" pid="5" name="MSIP_Label_b0d5c4f4-7a29-4385-b7a5-afbe2154ae6f_Method">
    <vt:lpwstr>Privileged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74f38287-e715-45e0-8fdf-a83ad7168f5d</vt:lpwstr>
  </property>
  <property fmtid="{D5CDD505-2E9C-101B-9397-08002B2CF9AE}" pid="9" name="MSIP_Label_b0d5c4f4-7a29-4385-b7a5-afbe2154ae6f_ContentBits">
    <vt:lpwstr>0</vt:lpwstr>
  </property>
  <property fmtid="{D5CDD505-2E9C-101B-9397-08002B2CF9AE}" pid="10" name="MSIP_Label_b0d5c4f4-7a29-4385-b7a5-afbe2154ae6f_Tag">
    <vt:lpwstr>50, 0, 1, 1</vt:lpwstr>
  </property>
</Properties>
</file>